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B7D9" w14:textId="4215A9A8" w:rsidR="00E5372E" w:rsidRDefault="001D1EC3" w:rsidP="000A2243">
      <w:pPr>
        <w:pStyle w:val="Titre1"/>
        <w:jc w:val="center"/>
      </w:pPr>
      <w:r>
        <w:t xml:space="preserve">L’Europe </w:t>
      </w:r>
      <w:r w:rsidR="00E9567E">
        <w:t xml:space="preserve">a une chance à saisir </w:t>
      </w:r>
      <w:r w:rsidR="009F2624">
        <w:t xml:space="preserve"> </w:t>
      </w:r>
    </w:p>
    <w:p w14:paraId="3D9449E4" w14:textId="7CE388B1" w:rsidR="00EB392B" w:rsidRDefault="00EB392B">
      <w:pPr>
        <w:rPr>
          <w:rFonts w:ascii="Verdana" w:hAnsi="Verdana"/>
          <w:sz w:val="24"/>
          <w:szCs w:val="24"/>
        </w:rPr>
      </w:pPr>
    </w:p>
    <w:p w14:paraId="3FFFD879" w14:textId="2A288332" w:rsidR="00EB392B" w:rsidRDefault="00246B95" w:rsidP="000A224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Alors que</w:t>
      </w:r>
      <w:r w:rsidR="004E26F6">
        <w:rPr>
          <w:rFonts w:ascii="Verdana" w:hAnsi="Verdana"/>
          <w:sz w:val="20"/>
          <w:szCs w:val="20"/>
        </w:rPr>
        <w:t xml:space="preserve"> les Etats-Unis ont déjà retrouvé leurs niveaux d’avant crise après la publication du chiffre du PIB au deux</w:t>
      </w:r>
      <w:r w:rsidR="00B8272B">
        <w:rPr>
          <w:rFonts w:ascii="Verdana" w:hAnsi="Verdana"/>
          <w:sz w:val="20"/>
          <w:szCs w:val="20"/>
        </w:rPr>
        <w:t>ième</w:t>
      </w:r>
      <w:r w:rsidR="000D23A9">
        <w:rPr>
          <w:rFonts w:ascii="Verdana" w:hAnsi="Verdana"/>
          <w:sz w:val="20"/>
          <w:szCs w:val="20"/>
        </w:rPr>
        <w:t xml:space="preserve"> trimestre</w:t>
      </w:r>
      <w:r w:rsidR="0044239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et même si</w:t>
      </w:r>
      <w:r w:rsidR="00B8272B">
        <w:rPr>
          <w:rFonts w:ascii="Verdana" w:hAnsi="Verdana"/>
          <w:sz w:val="20"/>
          <w:szCs w:val="20"/>
        </w:rPr>
        <w:t xml:space="preserve"> l’Europe mettra plus de temps, </w:t>
      </w:r>
      <w:r w:rsidR="003F3640">
        <w:rPr>
          <w:rFonts w:ascii="Verdana" w:hAnsi="Verdana"/>
          <w:sz w:val="20"/>
          <w:szCs w:val="20"/>
        </w:rPr>
        <w:t xml:space="preserve">cette dernière </w:t>
      </w:r>
      <w:r w:rsidR="00C05E0B">
        <w:rPr>
          <w:rFonts w:ascii="Verdana" w:hAnsi="Verdana"/>
          <w:sz w:val="20"/>
          <w:szCs w:val="20"/>
        </w:rPr>
        <w:t>bénéfic</w:t>
      </w:r>
      <w:r>
        <w:rPr>
          <w:rFonts w:ascii="Verdana" w:hAnsi="Verdana"/>
          <w:sz w:val="20"/>
          <w:szCs w:val="20"/>
        </w:rPr>
        <w:t>i</w:t>
      </w:r>
      <w:r w:rsidR="00C05E0B">
        <w:rPr>
          <w:rFonts w:ascii="Verdana" w:hAnsi="Verdana"/>
          <w:sz w:val="20"/>
          <w:szCs w:val="20"/>
        </w:rPr>
        <w:t xml:space="preserve">e </w:t>
      </w:r>
      <w:r w:rsidR="000D23A9">
        <w:rPr>
          <w:rFonts w:ascii="Verdana" w:hAnsi="Verdana"/>
          <w:sz w:val="20"/>
          <w:szCs w:val="20"/>
        </w:rPr>
        <w:t xml:space="preserve">pourtant </w:t>
      </w:r>
      <w:r w:rsidR="00C05E0B">
        <w:rPr>
          <w:rFonts w:ascii="Verdana" w:hAnsi="Verdana"/>
          <w:sz w:val="20"/>
          <w:szCs w:val="20"/>
        </w:rPr>
        <w:t xml:space="preserve">d’atouts qui pourraient lui permettre de </w:t>
      </w:r>
      <w:r w:rsidR="00333993">
        <w:rPr>
          <w:rFonts w:ascii="Verdana" w:hAnsi="Verdana"/>
          <w:sz w:val="20"/>
          <w:szCs w:val="20"/>
        </w:rPr>
        <w:t xml:space="preserve">mieux performer </w:t>
      </w:r>
      <w:r w:rsidR="005D5CB5">
        <w:rPr>
          <w:rFonts w:ascii="Verdana" w:hAnsi="Verdana"/>
          <w:sz w:val="20"/>
          <w:szCs w:val="20"/>
        </w:rPr>
        <w:t xml:space="preserve">à l’avenir. </w:t>
      </w:r>
      <w:r w:rsidR="00DC217F">
        <w:rPr>
          <w:rFonts w:ascii="Verdana" w:hAnsi="Verdana"/>
          <w:sz w:val="20"/>
          <w:szCs w:val="20"/>
        </w:rPr>
        <w:t xml:space="preserve">Et cela se reflète déjà dans les dernières prévisions du FMI qui table sur une croissance de 4.6% </w:t>
      </w:r>
      <w:r w:rsidR="006F3876">
        <w:rPr>
          <w:rFonts w:ascii="Verdana" w:hAnsi="Verdana"/>
          <w:sz w:val="20"/>
          <w:szCs w:val="20"/>
        </w:rPr>
        <w:t xml:space="preserve">pour la zone euro contre un taux de 4.3% </w:t>
      </w:r>
      <w:r w:rsidR="002E6283">
        <w:rPr>
          <w:rFonts w:ascii="Verdana" w:hAnsi="Verdana"/>
          <w:sz w:val="20"/>
          <w:szCs w:val="20"/>
        </w:rPr>
        <w:t xml:space="preserve">pour les </w:t>
      </w:r>
      <w:r w:rsidR="005C5893">
        <w:rPr>
          <w:rFonts w:ascii="Verdana" w:hAnsi="Verdana"/>
          <w:sz w:val="20"/>
          <w:szCs w:val="20"/>
        </w:rPr>
        <w:t>pays de l’ASEAN-</w:t>
      </w:r>
      <w:r w:rsidR="00750934">
        <w:rPr>
          <w:rFonts w:ascii="Verdana" w:hAnsi="Verdana"/>
          <w:sz w:val="20"/>
          <w:szCs w:val="20"/>
        </w:rPr>
        <w:t>5 (</w:t>
      </w:r>
      <w:r w:rsidR="00750934" w:rsidRPr="00750934">
        <w:rPr>
          <w:rFonts w:ascii="Verdana" w:hAnsi="Verdana"/>
          <w:sz w:val="20"/>
          <w:szCs w:val="20"/>
        </w:rPr>
        <w:t>l’Indonésie, la Malaisie, les Philippines, la Thaïlande et le Vietnam</w:t>
      </w:r>
      <w:r w:rsidR="00750934">
        <w:rPr>
          <w:rFonts w:ascii="Verdana" w:hAnsi="Verdana"/>
          <w:sz w:val="20"/>
          <w:szCs w:val="20"/>
        </w:rPr>
        <w:t>).</w:t>
      </w:r>
      <w:r w:rsidR="00484B7A">
        <w:rPr>
          <w:rFonts w:ascii="Verdana" w:hAnsi="Verdana"/>
          <w:sz w:val="20"/>
          <w:szCs w:val="20"/>
        </w:rPr>
        <w:t xml:space="preserve"> </w:t>
      </w:r>
    </w:p>
    <w:p w14:paraId="1330901A" w14:textId="5F9EF9D0" w:rsidR="00DB788C" w:rsidRDefault="00442391" w:rsidP="000A2243">
      <w:pPr>
        <w:jc w:val="both"/>
        <w:rPr>
          <w:rFonts w:ascii="Verdana" w:hAnsi="Verdana"/>
          <w:color w:val="00B0F0"/>
          <w:sz w:val="20"/>
          <w:szCs w:val="20"/>
        </w:rPr>
      </w:pPr>
      <w:r>
        <w:rPr>
          <w:rFonts w:ascii="Verdana" w:hAnsi="Verdana"/>
          <w:color w:val="00B0F0"/>
          <w:sz w:val="20"/>
          <w:szCs w:val="20"/>
        </w:rPr>
        <w:t>Vaccination, tourisme et plan de relance comme atouts</w:t>
      </w:r>
    </w:p>
    <w:p w14:paraId="44DFFE87" w14:textId="6B888043" w:rsidR="00DC7E5C" w:rsidRDefault="007721EF" w:rsidP="002F11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nous avons été lent</w:t>
      </w:r>
      <w:r w:rsidR="00246B95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au démarrage pour la vaccination, nous </w:t>
      </w:r>
      <w:r w:rsidR="002E4512">
        <w:rPr>
          <w:rFonts w:ascii="Verdana" w:hAnsi="Verdana"/>
          <w:sz w:val="20"/>
          <w:szCs w:val="20"/>
        </w:rPr>
        <w:t xml:space="preserve">sommes en passe d’être </w:t>
      </w:r>
      <w:r w:rsidR="005D0423">
        <w:rPr>
          <w:rFonts w:ascii="Verdana" w:hAnsi="Verdana"/>
          <w:sz w:val="20"/>
          <w:szCs w:val="20"/>
        </w:rPr>
        <w:t xml:space="preserve">dans le </w:t>
      </w:r>
      <w:r w:rsidR="00363A8F">
        <w:rPr>
          <w:rFonts w:ascii="Verdana" w:hAnsi="Verdana"/>
          <w:sz w:val="20"/>
          <w:szCs w:val="20"/>
        </w:rPr>
        <w:t xml:space="preserve">peloton </w:t>
      </w:r>
      <w:r w:rsidR="005D0423">
        <w:rPr>
          <w:rFonts w:ascii="Verdana" w:hAnsi="Verdana"/>
          <w:sz w:val="20"/>
          <w:szCs w:val="20"/>
        </w:rPr>
        <w:t xml:space="preserve">de tête et </w:t>
      </w:r>
      <w:r w:rsidR="00265328">
        <w:rPr>
          <w:rFonts w:ascii="Verdana" w:hAnsi="Verdana"/>
          <w:sz w:val="20"/>
          <w:szCs w:val="20"/>
        </w:rPr>
        <w:t xml:space="preserve">de peut-être durablement dépasser les Etats-Unis où la vaccination connait un sérieux ralentissement. Ne parlons même pas des pays de la zone asiatique </w:t>
      </w:r>
      <w:r w:rsidR="002B55DA">
        <w:rPr>
          <w:rFonts w:ascii="Verdana" w:hAnsi="Verdana"/>
          <w:sz w:val="20"/>
          <w:szCs w:val="20"/>
        </w:rPr>
        <w:t xml:space="preserve">qui étaient sortis les premiers du confinement et qui font face maintenant </w:t>
      </w:r>
      <w:r w:rsidR="000C20C6">
        <w:rPr>
          <w:rFonts w:ascii="Verdana" w:hAnsi="Verdana"/>
          <w:sz w:val="20"/>
          <w:szCs w:val="20"/>
        </w:rPr>
        <w:t xml:space="preserve">au variant Delta qui les oblige à mettre en place de nouvelles mesures de restriction. </w:t>
      </w:r>
      <w:r w:rsidR="007C70C3">
        <w:rPr>
          <w:rFonts w:ascii="Verdana" w:hAnsi="Verdana"/>
          <w:sz w:val="20"/>
          <w:szCs w:val="20"/>
        </w:rPr>
        <w:t>Si nous gardons le même rythme</w:t>
      </w:r>
      <w:r w:rsidR="00DF1F3D">
        <w:rPr>
          <w:rFonts w:ascii="Verdana" w:hAnsi="Verdana"/>
          <w:sz w:val="20"/>
          <w:szCs w:val="20"/>
        </w:rPr>
        <w:t xml:space="preserve"> </w:t>
      </w:r>
      <w:r w:rsidR="00442391">
        <w:rPr>
          <w:rFonts w:ascii="Verdana" w:hAnsi="Verdana"/>
          <w:sz w:val="20"/>
          <w:szCs w:val="20"/>
        </w:rPr>
        <w:t>de</w:t>
      </w:r>
      <w:r w:rsidR="00DF1F3D">
        <w:rPr>
          <w:rFonts w:ascii="Verdana" w:hAnsi="Verdana"/>
          <w:sz w:val="20"/>
          <w:szCs w:val="20"/>
        </w:rPr>
        <w:t xml:space="preserve"> vaccination</w:t>
      </w:r>
      <w:r w:rsidR="00246B95">
        <w:rPr>
          <w:rFonts w:ascii="Verdana" w:hAnsi="Verdana"/>
          <w:sz w:val="20"/>
          <w:szCs w:val="20"/>
        </w:rPr>
        <w:t xml:space="preserve"> </w:t>
      </w:r>
      <w:r w:rsidR="007C70C3">
        <w:rPr>
          <w:rFonts w:ascii="Verdana" w:hAnsi="Verdana"/>
          <w:sz w:val="20"/>
          <w:szCs w:val="20"/>
        </w:rPr>
        <w:t>et même si des mesures comme le pass sanitaire affecte</w:t>
      </w:r>
      <w:r w:rsidR="00992310">
        <w:rPr>
          <w:rFonts w:ascii="Verdana" w:hAnsi="Verdana"/>
          <w:sz w:val="20"/>
          <w:szCs w:val="20"/>
        </w:rPr>
        <w:t>ront encore certains secteurs</w:t>
      </w:r>
      <w:r w:rsidR="00DF1F3D">
        <w:rPr>
          <w:rFonts w:ascii="Verdana" w:hAnsi="Verdana"/>
          <w:sz w:val="20"/>
          <w:szCs w:val="20"/>
        </w:rPr>
        <w:t>, l’</w:t>
      </w:r>
      <w:r w:rsidR="0091079B">
        <w:rPr>
          <w:rFonts w:ascii="Verdana" w:hAnsi="Verdana"/>
          <w:sz w:val="20"/>
          <w:szCs w:val="20"/>
        </w:rPr>
        <w:t xml:space="preserve">économie sera nettement moins affectée que lors des autres périodes marquées par des mesures </w:t>
      </w:r>
      <w:r w:rsidR="00246B95">
        <w:rPr>
          <w:rFonts w:ascii="Verdana" w:hAnsi="Verdana"/>
          <w:sz w:val="20"/>
          <w:szCs w:val="20"/>
        </w:rPr>
        <w:t xml:space="preserve">de restriction </w:t>
      </w:r>
      <w:r w:rsidR="007B1756">
        <w:rPr>
          <w:rFonts w:ascii="Verdana" w:hAnsi="Verdana"/>
          <w:sz w:val="20"/>
          <w:szCs w:val="20"/>
        </w:rPr>
        <w:t xml:space="preserve">beaucoup plus </w:t>
      </w:r>
      <w:r w:rsidR="00246B95">
        <w:rPr>
          <w:rFonts w:ascii="Verdana" w:hAnsi="Verdana"/>
          <w:sz w:val="20"/>
          <w:szCs w:val="20"/>
        </w:rPr>
        <w:t>fortes</w:t>
      </w:r>
      <w:r w:rsidR="004B3B6D">
        <w:rPr>
          <w:rFonts w:ascii="Verdana" w:hAnsi="Verdana"/>
          <w:sz w:val="20"/>
          <w:szCs w:val="20"/>
        </w:rPr>
        <w:t xml:space="preserve">. </w:t>
      </w:r>
      <w:r w:rsidR="0058773C">
        <w:rPr>
          <w:rFonts w:ascii="Verdana" w:hAnsi="Verdana"/>
          <w:sz w:val="20"/>
          <w:szCs w:val="20"/>
        </w:rPr>
        <w:t xml:space="preserve">Ce qui signifie que la croissance sur la seconde partie de l’année pourrait rester très ferme </w:t>
      </w:r>
      <w:r w:rsidR="00246B95">
        <w:rPr>
          <w:rFonts w:ascii="Verdana" w:hAnsi="Verdana"/>
          <w:sz w:val="20"/>
          <w:szCs w:val="20"/>
        </w:rPr>
        <w:t>a</w:t>
      </w:r>
      <w:r w:rsidR="00A97B11">
        <w:rPr>
          <w:rFonts w:ascii="Verdana" w:hAnsi="Verdana"/>
          <w:sz w:val="20"/>
          <w:szCs w:val="20"/>
        </w:rPr>
        <w:t xml:space="preserve"> contrario de l’Asie</w:t>
      </w:r>
      <w:r w:rsidR="007E7C96">
        <w:rPr>
          <w:rFonts w:ascii="Verdana" w:hAnsi="Verdana"/>
          <w:sz w:val="20"/>
          <w:szCs w:val="20"/>
        </w:rPr>
        <w:t xml:space="preserve"> et être soutenue par la consommation des ménages</w:t>
      </w:r>
      <w:r w:rsidR="00A97B11">
        <w:rPr>
          <w:rFonts w:ascii="Verdana" w:hAnsi="Verdana"/>
          <w:sz w:val="20"/>
          <w:szCs w:val="20"/>
        </w:rPr>
        <w:t>.</w:t>
      </w:r>
    </w:p>
    <w:p w14:paraId="72166A5D" w14:textId="1329B6BA" w:rsidR="004B3B6D" w:rsidRDefault="003E3661" w:rsidP="002F11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Même si des pays </w:t>
      </w:r>
      <w:r w:rsidR="00554B42">
        <w:rPr>
          <w:rFonts w:ascii="Verdana" w:hAnsi="Verdana"/>
          <w:sz w:val="20"/>
          <w:szCs w:val="20"/>
        </w:rPr>
        <w:t xml:space="preserve">comme l’Espagne ou le Portugal </w:t>
      </w:r>
      <w:r w:rsidR="000D66E1">
        <w:rPr>
          <w:rFonts w:ascii="Verdana" w:hAnsi="Verdana"/>
          <w:sz w:val="20"/>
          <w:szCs w:val="20"/>
        </w:rPr>
        <w:t>vont encore souffrir de la diminution drastique d</w:t>
      </w:r>
      <w:r w:rsidR="00246B95">
        <w:rPr>
          <w:rFonts w:ascii="Verdana" w:hAnsi="Verdana"/>
          <w:sz w:val="20"/>
          <w:szCs w:val="20"/>
        </w:rPr>
        <w:t>u tourisme</w:t>
      </w:r>
      <w:r w:rsidR="000D66E1">
        <w:rPr>
          <w:rFonts w:ascii="Verdana" w:hAnsi="Verdana"/>
          <w:sz w:val="20"/>
          <w:szCs w:val="20"/>
        </w:rPr>
        <w:t xml:space="preserve">, l’Europe est </w:t>
      </w:r>
      <w:r w:rsidR="00B85B4F">
        <w:rPr>
          <w:rFonts w:ascii="Verdana" w:hAnsi="Verdana"/>
          <w:sz w:val="20"/>
          <w:szCs w:val="20"/>
        </w:rPr>
        <w:t>moins impactée que d’autres régions et en particulier que l’Asie. Selon les deniers chiffres publiés par l’Org</w:t>
      </w:r>
      <w:r w:rsidR="00BB5431">
        <w:rPr>
          <w:rFonts w:ascii="Verdana" w:hAnsi="Verdana"/>
          <w:sz w:val="20"/>
          <w:szCs w:val="20"/>
        </w:rPr>
        <w:t xml:space="preserve">anisation Mondiale du Tourisme sur les 5 mois premiers mois de </w:t>
      </w:r>
      <w:r w:rsidR="00C52682">
        <w:rPr>
          <w:rFonts w:ascii="Verdana" w:hAnsi="Verdana"/>
          <w:sz w:val="20"/>
          <w:szCs w:val="20"/>
        </w:rPr>
        <w:t xml:space="preserve">cette </w:t>
      </w:r>
      <w:r w:rsidR="00BB5431">
        <w:rPr>
          <w:rFonts w:ascii="Verdana" w:hAnsi="Verdana"/>
          <w:sz w:val="20"/>
          <w:szCs w:val="20"/>
        </w:rPr>
        <w:t xml:space="preserve">année, la zone Asie-Pacifique a </w:t>
      </w:r>
      <w:r w:rsidR="004B22B0">
        <w:rPr>
          <w:rFonts w:ascii="Verdana" w:hAnsi="Verdana"/>
          <w:sz w:val="20"/>
          <w:szCs w:val="20"/>
        </w:rPr>
        <w:t xml:space="preserve">accusé une baisse de 95% des arrivées internationales </w:t>
      </w:r>
      <w:r w:rsidR="00CE1A18">
        <w:rPr>
          <w:rFonts w:ascii="Verdana" w:hAnsi="Verdana"/>
          <w:sz w:val="20"/>
          <w:szCs w:val="20"/>
        </w:rPr>
        <w:t xml:space="preserve">contre 85% </w:t>
      </w:r>
      <w:r w:rsidR="00494FF2">
        <w:rPr>
          <w:rFonts w:ascii="Verdana" w:hAnsi="Verdana"/>
          <w:sz w:val="20"/>
          <w:szCs w:val="20"/>
        </w:rPr>
        <w:t>pour l’Europe par rapport à la même période en 2019. Mais surtout, en juin</w:t>
      </w:r>
      <w:r w:rsidR="00B573D6">
        <w:rPr>
          <w:rFonts w:ascii="Verdana" w:hAnsi="Verdana"/>
          <w:sz w:val="20"/>
          <w:szCs w:val="20"/>
        </w:rPr>
        <w:t>, sur 63 pays ayant fermé complètement leurs</w:t>
      </w:r>
      <w:r w:rsidR="007C3A70">
        <w:rPr>
          <w:rFonts w:ascii="Verdana" w:hAnsi="Verdana"/>
          <w:sz w:val="20"/>
          <w:szCs w:val="20"/>
        </w:rPr>
        <w:t xml:space="preserve"> frontières, l’Europe en comptait 7 contre 33 pour la zone Asie-Pacifique. </w:t>
      </w:r>
      <w:r w:rsidR="00C56039">
        <w:rPr>
          <w:rFonts w:ascii="Verdana" w:hAnsi="Verdana"/>
          <w:sz w:val="20"/>
          <w:szCs w:val="20"/>
        </w:rPr>
        <w:t xml:space="preserve">Le tourisme intra européen </w:t>
      </w:r>
      <w:r w:rsidR="000C32D5">
        <w:rPr>
          <w:rFonts w:ascii="Verdana" w:hAnsi="Verdana"/>
          <w:sz w:val="20"/>
          <w:szCs w:val="20"/>
        </w:rPr>
        <w:t>permettra donc de limiter les dégâts</w:t>
      </w:r>
      <w:r w:rsidR="00246B95">
        <w:rPr>
          <w:rFonts w:ascii="Verdana" w:hAnsi="Verdana"/>
          <w:sz w:val="20"/>
          <w:szCs w:val="20"/>
        </w:rPr>
        <w:t>,</w:t>
      </w:r>
      <w:r w:rsidR="000C32D5">
        <w:rPr>
          <w:rFonts w:ascii="Verdana" w:hAnsi="Verdana"/>
          <w:sz w:val="20"/>
          <w:szCs w:val="20"/>
        </w:rPr>
        <w:t xml:space="preserve"> </w:t>
      </w:r>
      <w:r w:rsidR="002B67DA">
        <w:rPr>
          <w:rFonts w:ascii="Verdana" w:hAnsi="Verdana"/>
          <w:sz w:val="20"/>
          <w:szCs w:val="20"/>
        </w:rPr>
        <w:t>ce qui ne sera pas le cas pour d’autres régions</w:t>
      </w:r>
      <w:r w:rsidR="00246B95">
        <w:rPr>
          <w:rFonts w:ascii="Verdana" w:hAnsi="Verdana"/>
          <w:sz w:val="20"/>
          <w:szCs w:val="20"/>
        </w:rPr>
        <w:t xml:space="preserve"> et</w:t>
      </w:r>
      <w:r w:rsidR="009304F9">
        <w:rPr>
          <w:rFonts w:ascii="Verdana" w:hAnsi="Verdana"/>
          <w:sz w:val="20"/>
          <w:szCs w:val="20"/>
        </w:rPr>
        <w:t xml:space="preserve"> ce qui soutiendra également la croissance.</w:t>
      </w:r>
    </w:p>
    <w:p w14:paraId="3BDE7A61" w14:textId="75EF5CAA" w:rsidR="006C44AB" w:rsidRDefault="007C06F7" w:rsidP="002F11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mise en place du plan Next Generation EU </w:t>
      </w:r>
      <w:r w:rsidR="00C1122B">
        <w:rPr>
          <w:rFonts w:ascii="Verdana" w:hAnsi="Verdana"/>
          <w:sz w:val="20"/>
          <w:szCs w:val="20"/>
        </w:rPr>
        <w:t xml:space="preserve">est effectif dans une majorité de pays de l’UE </w:t>
      </w:r>
      <w:r w:rsidR="00754F42">
        <w:rPr>
          <w:rFonts w:ascii="Verdana" w:hAnsi="Verdana"/>
          <w:sz w:val="20"/>
          <w:szCs w:val="20"/>
        </w:rPr>
        <w:t xml:space="preserve">et la mise </w:t>
      </w:r>
      <w:r w:rsidR="00AF6EA8">
        <w:rPr>
          <w:rFonts w:ascii="Verdana" w:hAnsi="Verdana"/>
          <w:sz w:val="20"/>
          <w:szCs w:val="20"/>
        </w:rPr>
        <w:t xml:space="preserve">à </w:t>
      </w:r>
      <w:r w:rsidR="00754F42">
        <w:rPr>
          <w:rFonts w:ascii="Verdana" w:hAnsi="Verdana"/>
          <w:sz w:val="20"/>
          <w:szCs w:val="20"/>
        </w:rPr>
        <w:t xml:space="preserve">disposition des fonds </w:t>
      </w:r>
      <w:r w:rsidR="00301817">
        <w:rPr>
          <w:rFonts w:ascii="Verdana" w:hAnsi="Verdana"/>
          <w:sz w:val="20"/>
          <w:szCs w:val="20"/>
        </w:rPr>
        <w:t xml:space="preserve">permettra donc à ces derniers de commencer à déployer leurs plans nationaux. </w:t>
      </w:r>
      <w:r w:rsidR="0090058C">
        <w:rPr>
          <w:rFonts w:ascii="Verdana" w:hAnsi="Verdana"/>
          <w:sz w:val="20"/>
          <w:szCs w:val="20"/>
        </w:rPr>
        <w:t xml:space="preserve">A contrario des Etats-Unis, où le plan de relance </w:t>
      </w:r>
      <w:r w:rsidR="00C6671D">
        <w:rPr>
          <w:rFonts w:ascii="Verdana" w:hAnsi="Verdana"/>
          <w:sz w:val="20"/>
          <w:szCs w:val="20"/>
        </w:rPr>
        <w:t xml:space="preserve">de Biden </w:t>
      </w:r>
      <w:r w:rsidR="0096480A">
        <w:rPr>
          <w:rFonts w:ascii="Verdana" w:hAnsi="Verdana"/>
          <w:sz w:val="20"/>
          <w:szCs w:val="20"/>
        </w:rPr>
        <w:t xml:space="preserve">après un vote favorable du Sénat </w:t>
      </w:r>
      <w:r w:rsidR="00AE5D3E">
        <w:rPr>
          <w:rFonts w:ascii="Verdana" w:hAnsi="Verdana"/>
          <w:sz w:val="20"/>
          <w:szCs w:val="20"/>
        </w:rPr>
        <w:t xml:space="preserve">devra </w:t>
      </w:r>
      <w:r w:rsidR="00C6671D">
        <w:rPr>
          <w:rFonts w:ascii="Verdana" w:hAnsi="Verdana"/>
          <w:sz w:val="20"/>
          <w:szCs w:val="20"/>
        </w:rPr>
        <w:t xml:space="preserve"> peut-être encore attendre </w:t>
      </w:r>
      <w:r w:rsidR="007B0C81">
        <w:rPr>
          <w:rFonts w:ascii="Verdana" w:hAnsi="Verdana"/>
          <w:sz w:val="20"/>
          <w:szCs w:val="20"/>
        </w:rPr>
        <w:t xml:space="preserve">le mois d’octobre avant de le </w:t>
      </w:r>
      <w:r w:rsidR="00134699">
        <w:rPr>
          <w:rFonts w:ascii="Verdana" w:hAnsi="Verdana"/>
          <w:sz w:val="20"/>
          <w:szCs w:val="20"/>
        </w:rPr>
        <w:t xml:space="preserve">voir se concrétiser. </w:t>
      </w:r>
      <w:r w:rsidR="00FA78F8">
        <w:rPr>
          <w:rFonts w:ascii="Verdana" w:hAnsi="Verdana"/>
          <w:sz w:val="20"/>
          <w:szCs w:val="20"/>
        </w:rPr>
        <w:t xml:space="preserve">En plus, les mesures de soutien </w:t>
      </w:r>
      <w:r w:rsidR="0097431E">
        <w:rPr>
          <w:rFonts w:ascii="Verdana" w:hAnsi="Verdana"/>
          <w:sz w:val="20"/>
          <w:szCs w:val="20"/>
        </w:rPr>
        <w:t xml:space="preserve">aux ménages américains vont prendre fin en septembre, ce qui devrait </w:t>
      </w:r>
      <w:r w:rsidR="006210BD">
        <w:rPr>
          <w:rFonts w:ascii="Verdana" w:hAnsi="Verdana"/>
          <w:sz w:val="20"/>
          <w:szCs w:val="20"/>
        </w:rPr>
        <w:t>affecter les revenus et il faudra voir si ces derniers vont puiser dans leur épargne</w:t>
      </w:r>
      <w:r w:rsidR="001E4D79">
        <w:rPr>
          <w:rFonts w:ascii="Verdana" w:hAnsi="Verdana"/>
          <w:sz w:val="20"/>
          <w:szCs w:val="20"/>
        </w:rPr>
        <w:t xml:space="preserve">, </w:t>
      </w:r>
      <w:r w:rsidR="00442391">
        <w:rPr>
          <w:rFonts w:ascii="Verdana" w:hAnsi="Verdana"/>
          <w:sz w:val="20"/>
          <w:szCs w:val="20"/>
        </w:rPr>
        <w:t xml:space="preserve">une </w:t>
      </w:r>
      <w:r w:rsidR="001E4D79">
        <w:rPr>
          <w:rFonts w:ascii="Verdana" w:hAnsi="Verdana"/>
          <w:sz w:val="20"/>
          <w:szCs w:val="20"/>
        </w:rPr>
        <w:t xml:space="preserve">épargne qui a d’ailleurs déjà fortement diminué ces deux derniers mois. </w:t>
      </w:r>
      <w:r w:rsidR="008523D5">
        <w:rPr>
          <w:rFonts w:ascii="Verdana" w:hAnsi="Verdana"/>
          <w:sz w:val="20"/>
          <w:szCs w:val="20"/>
        </w:rPr>
        <w:t>L’Europe a donc une longueur d’avance, même si les montants sont plus modérés, mais ce plan de relance pourrait permettre de r</w:t>
      </w:r>
      <w:r w:rsidR="00644AEF">
        <w:rPr>
          <w:rFonts w:ascii="Verdana" w:hAnsi="Verdana"/>
          <w:sz w:val="20"/>
          <w:szCs w:val="20"/>
        </w:rPr>
        <w:t xml:space="preserve">éindustrialiser </w:t>
      </w:r>
      <w:r w:rsidR="00076C20">
        <w:rPr>
          <w:rFonts w:ascii="Verdana" w:hAnsi="Verdana"/>
          <w:sz w:val="20"/>
          <w:szCs w:val="20"/>
        </w:rPr>
        <w:t xml:space="preserve">en rapatriant certaines activités </w:t>
      </w:r>
      <w:r w:rsidR="0021584F">
        <w:rPr>
          <w:rFonts w:ascii="Verdana" w:hAnsi="Verdana"/>
          <w:sz w:val="20"/>
          <w:szCs w:val="20"/>
        </w:rPr>
        <w:t>stratégiques</w:t>
      </w:r>
      <w:r w:rsidR="00BE35CB">
        <w:rPr>
          <w:rFonts w:ascii="Verdana" w:hAnsi="Verdana"/>
          <w:sz w:val="20"/>
          <w:szCs w:val="20"/>
        </w:rPr>
        <w:t xml:space="preserve"> ou </w:t>
      </w:r>
      <w:r w:rsidR="00442391">
        <w:rPr>
          <w:rFonts w:ascii="Verdana" w:hAnsi="Verdana"/>
          <w:sz w:val="20"/>
          <w:szCs w:val="20"/>
        </w:rPr>
        <w:t xml:space="preserve">en </w:t>
      </w:r>
      <w:r w:rsidR="00BE35CB">
        <w:rPr>
          <w:rFonts w:ascii="Verdana" w:hAnsi="Verdana"/>
          <w:sz w:val="20"/>
          <w:szCs w:val="20"/>
        </w:rPr>
        <w:t>développ</w:t>
      </w:r>
      <w:r w:rsidR="00442391">
        <w:rPr>
          <w:rFonts w:ascii="Verdana" w:hAnsi="Verdana"/>
          <w:sz w:val="20"/>
          <w:szCs w:val="20"/>
        </w:rPr>
        <w:t>ant</w:t>
      </w:r>
      <w:r w:rsidR="00BE35CB">
        <w:rPr>
          <w:rFonts w:ascii="Verdana" w:hAnsi="Verdana"/>
          <w:sz w:val="20"/>
          <w:szCs w:val="20"/>
        </w:rPr>
        <w:t xml:space="preserve"> de nouvelles filières de production dans </w:t>
      </w:r>
      <w:r w:rsidR="00F42EDB">
        <w:rPr>
          <w:rFonts w:ascii="Verdana" w:hAnsi="Verdana"/>
          <w:sz w:val="20"/>
          <w:szCs w:val="20"/>
        </w:rPr>
        <w:t>certains secteurs de pointe.</w:t>
      </w:r>
      <w:r w:rsidR="00442391">
        <w:rPr>
          <w:rFonts w:ascii="Verdana" w:hAnsi="Verdana"/>
          <w:sz w:val="20"/>
          <w:szCs w:val="20"/>
        </w:rPr>
        <w:br/>
      </w:r>
      <w:r w:rsidR="00F42EDB">
        <w:rPr>
          <w:rFonts w:ascii="Verdana" w:hAnsi="Verdana"/>
          <w:sz w:val="20"/>
          <w:szCs w:val="20"/>
        </w:rPr>
        <w:t>Car</w:t>
      </w:r>
      <w:r w:rsidR="00134699">
        <w:rPr>
          <w:rFonts w:ascii="Verdana" w:hAnsi="Verdana"/>
          <w:sz w:val="20"/>
          <w:szCs w:val="20"/>
        </w:rPr>
        <w:t xml:space="preserve"> ce plan de l’UE s’intègre dans le </w:t>
      </w:r>
      <w:r w:rsidR="00E172A9">
        <w:rPr>
          <w:rFonts w:ascii="Verdana" w:hAnsi="Verdana"/>
          <w:sz w:val="20"/>
          <w:szCs w:val="20"/>
        </w:rPr>
        <w:t>programme ambitieux de la Commission européenne d’arriver à la neutralité carbon</w:t>
      </w:r>
      <w:r w:rsidR="00B14C40">
        <w:rPr>
          <w:rFonts w:ascii="Verdana" w:hAnsi="Verdana"/>
          <w:sz w:val="20"/>
          <w:szCs w:val="20"/>
        </w:rPr>
        <w:t xml:space="preserve">e </w:t>
      </w:r>
      <w:r w:rsidR="00656B4B">
        <w:rPr>
          <w:rFonts w:ascii="Verdana" w:hAnsi="Verdana"/>
          <w:sz w:val="20"/>
          <w:szCs w:val="20"/>
        </w:rPr>
        <w:t xml:space="preserve">en 2050 </w:t>
      </w:r>
      <w:r w:rsidR="007D1B35">
        <w:rPr>
          <w:rFonts w:ascii="Verdana" w:hAnsi="Verdana"/>
          <w:sz w:val="20"/>
          <w:szCs w:val="20"/>
        </w:rPr>
        <w:t xml:space="preserve">qui pourrait voir l’Europe prendre le leadership dans toute une série de </w:t>
      </w:r>
      <w:r w:rsidR="008A4D01">
        <w:rPr>
          <w:rFonts w:ascii="Verdana" w:hAnsi="Verdana"/>
          <w:sz w:val="20"/>
          <w:szCs w:val="20"/>
        </w:rPr>
        <w:t xml:space="preserve">domaine pour relever ce défi. </w:t>
      </w:r>
    </w:p>
    <w:p w14:paraId="7C21DF7C" w14:textId="0D94DBD8" w:rsidR="00246B95" w:rsidRPr="00246B95" w:rsidRDefault="00246B95" w:rsidP="002F11CF">
      <w:pPr>
        <w:jc w:val="both"/>
        <w:rPr>
          <w:rFonts w:ascii="Verdana" w:hAnsi="Verdana"/>
          <w:color w:val="00B0F0"/>
          <w:sz w:val="20"/>
          <w:szCs w:val="20"/>
        </w:rPr>
      </w:pPr>
      <w:r w:rsidRPr="00246B95">
        <w:rPr>
          <w:rFonts w:ascii="Verdana" w:hAnsi="Verdana"/>
          <w:color w:val="00B0F0"/>
          <w:sz w:val="20"/>
          <w:szCs w:val="20"/>
        </w:rPr>
        <w:t>Climat et inflation plus cléments en Europe</w:t>
      </w:r>
    </w:p>
    <w:p w14:paraId="6BB89021" w14:textId="08112D52" w:rsidR="003121A9" w:rsidRDefault="008A4D01" w:rsidP="002F11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propos de</w:t>
      </w:r>
      <w:r w:rsidR="0097332B">
        <w:rPr>
          <w:rFonts w:ascii="Verdana" w:hAnsi="Verdana"/>
          <w:sz w:val="20"/>
          <w:szCs w:val="20"/>
        </w:rPr>
        <w:t xml:space="preserve"> climat, et malgré les inondations dévastatrices en Allemagne et en Belgique</w:t>
      </w:r>
      <w:r w:rsidR="00656B4B">
        <w:rPr>
          <w:rFonts w:ascii="Verdana" w:hAnsi="Verdana"/>
          <w:sz w:val="20"/>
          <w:szCs w:val="20"/>
        </w:rPr>
        <w:t xml:space="preserve"> et les incendies qui touchent le sud de l’Europe</w:t>
      </w:r>
      <w:r w:rsidR="00335D17">
        <w:rPr>
          <w:rFonts w:ascii="Verdana" w:hAnsi="Verdana"/>
          <w:sz w:val="20"/>
          <w:szCs w:val="20"/>
        </w:rPr>
        <w:t>,</w:t>
      </w:r>
      <w:r w:rsidR="0097332B">
        <w:rPr>
          <w:rFonts w:ascii="Verdana" w:hAnsi="Verdana"/>
          <w:sz w:val="20"/>
          <w:szCs w:val="20"/>
        </w:rPr>
        <w:t xml:space="preserve"> les Etats-Unis doivent faire face à des conditions c</w:t>
      </w:r>
      <w:r w:rsidR="00DC1CB8">
        <w:rPr>
          <w:rFonts w:ascii="Verdana" w:hAnsi="Verdana"/>
          <w:sz w:val="20"/>
          <w:szCs w:val="20"/>
        </w:rPr>
        <w:t>limatiques qui auront inéluctablement un impact sur la croissance</w:t>
      </w:r>
      <w:r w:rsidR="00B71211">
        <w:rPr>
          <w:rFonts w:ascii="Verdana" w:hAnsi="Verdana"/>
          <w:sz w:val="20"/>
          <w:szCs w:val="20"/>
        </w:rPr>
        <w:t xml:space="preserve">, sans doute </w:t>
      </w:r>
      <w:r w:rsidR="00B71211">
        <w:rPr>
          <w:rFonts w:ascii="Verdana" w:hAnsi="Verdana"/>
          <w:sz w:val="20"/>
          <w:szCs w:val="20"/>
        </w:rPr>
        <w:lastRenderedPageBreak/>
        <w:t>plus important qu’en Europe</w:t>
      </w:r>
      <w:r w:rsidR="00DC1CB8">
        <w:rPr>
          <w:rFonts w:ascii="Verdana" w:hAnsi="Verdana"/>
          <w:sz w:val="20"/>
          <w:szCs w:val="20"/>
        </w:rPr>
        <w:t xml:space="preserve">. C’est particulièrement le cas des gigantesques incendies qui ravagent certains Etats et aussi </w:t>
      </w:r>
      <w:r w:rsidR="00442391">
        <w:rPr>
          <w:rFonts w:ascii="Verdana" w:hAnsi="Verdana"/>
          <w:sz w:val="20"/>
          <w:szCs w:val="20"/>
        </w:rPr>
        <w:t xml:space="preserve">de </w:t>
      </w:r>
      <w:r w:rsidR="000D26E1">
        <w:rPr>
          <w:rFonts w:ascii="Verdana" w:hAnsi="Verdana"/>
          <w:sz w:val="20"/>
          <w:szCs w:val="20"/>
        </w:rPr>
        <w:t xml:space="preserve">la sécheresse qui affecte des régions </w:t>
      </w:r>
      <w:r w:rsidR="003121A9">
        <w:rPr>
          <w:rFonts w:ascii="Verdana" w:hAnsi="Verdana"/>
          <w:sz w:val="20"/>
          <w:szCs w:val="20"/>
        </w:rPr>
        <w:t xml:space="preserve">agricoles. </w:t>
      </w:r>
    </w:p>
    <w:p w14:paraId="3377B018" w14:textId="4C17F8B5" w:rsidR="008A4D01" w:rsidRDefault="00551765" w:rsidP="002F11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Malgré un taux d’inflation en hausse, 2.2% selon </w:t>
      </w:r>
      <w:r w:rsidR="00156E4A">
        <w:rPr>
          <w:rFonts w:ascii="Verdana" w:hAnsi="Verdana"/>
          <w:sz w:val="20"/>
          <w:szCs w:val="20"/>
        </w:rPr>
        <w:t>le dernier chiffre publié en juillet, la zone euro ne connait pas la même poussée inflationniste qu’aux Etats-Unis</w:t>
      </w:r>
      <w:r w:rsidR="00473EFC">
        <w:rPr>
          <w:rFonts w:ascii="Verdana" w:hAnsi="Verdana"/>
          <w:sz w:val="20"/>
          <w:szCs w:val="20"/>
        </w:rPr>
        <w:t xml:space="preserve"> où le taux s</w:t>
      </w:r>
      <w:r w:rsidR="00E342B4">
        <w:rPr>
          <w:rFonts w:ascii="Verdana" w:hAnsi="Verdana"/>
          <w:sz w:val="20"/>
          <w:szCs w:val="20"/>
        </w:rPr>
        <w:t xml:space="preserve">e </w:t>
      </w:r>
      <w:r w:rsidR="00952312">
        <w:rPr>
          <w:rFonts w:ascii="Verdana" w:hAnsi="Verdana"/>
          <w:sz w:val="20"/>
          <w:szCs w:val="20"/>
        </w:rPr>
        <w:t xml:space="preserve">situe à 5.4%. Cette forte hausse de l’inflation aux Etats-Unis a deux conséquences négatives. D’une part, l’inflation rogne plus le pouvoir d’achat des ménages américains que </w:t>
      </w:r>
      <w:r w:rsidR="003002CC">
        <w:rPr>
          <w:rFonts w:ascii="Verdana" w:hAnsi="Verdana"/>
          <w:sz w:val="20"/>
          <w:szCs w:val="20"/>
        </w:rPr>
        <w:t xml:space="preserve">celui </w:t>
      </w:r>
      <w:r w:rsidR="00952312">
        <w:rPr>
          <w:rFonts w:ascii="Verdana" w:hAnsi="Verdana"/>
          <w:sz w:val="20"/>
          <w:szCs w:val="20"/>
        </w:rPr>
        <w:t>des m</w:t>
      </w:r>
      <w:r w:rsidR="000378C5">
        <w:rPr>
          <w:rFonts w:ascii="Verdana" w:hAnsi="Verdana"/>
          <w:sz w:val="20"/>
          <w:szCs w:val="20"/>
        </w:rPr>
        <w:t>énages européens. Et d’autre part, la FED dev</w:t>
      </w:r>
      <w:r w:rsidR="00A14D2D">
        <w:rPr>
          <w:rFonts w:ascii="Verdana" w:hAnsi="Verdana"/>
          <w:sz w:val="20"/>
          <w:szCs w:val="20"/>
        </w:rPr>
        <w:t>ra réduire son programme de rachats plu</w:t>
      </w:r>
      <w:r w:rsidR="00601C13">
        <w:rPr>
          <w:rFonts w:ascii="Verdana" w:hAnsi="Verdana"/>
          <w:sz w:val="20"/>
          <w:szCs w:val="20"/>
        </w:rPr>
        <w:t xml:space="preserve">s </w:t>
      </w:r>
      <w:r w:rsidR="00A14D2D">
        <w:rPr>
          <w:rFonts w:ascii="Verdana" w:hAnsi="Verdana"/>
          <w:sz w:val="20"/>
          <w:szCs w:val="20"/>
        </w:rPr>
        <w:t xml:space="preserve">tôt que la BCE, ce qui entrainera </w:t>
      </w:r>
      <w:r w:rsidR="00B579B1">
        <w:rPr>
          <w:rFonts w:ascii="Verdana" w:hAnsi="Verdana"/>
          <w:sz w:val="20"/>
          <w:szCs w:val="20"/>
        </w:rPr>
        <w:t xml:space="preserve">une remontée des taux longs aux Etats-Unis et renchérira le coût du crédit pour les ménages et les entreprises. </w:t>
      </w:r>
    </w:p>
    <w:p w14:paraId="4A4C9CA4" w14:textId="420CF8C6" w:rsidR="00B579B1" w:rsidRDefault="00442391" w:rsidP="002F11CF">
      <w:pPr>
        <w:jc w:val="both"/>
        <w:rPr>
          <w:rFonts w:ascii="Verdana" w:hAnsi="Verdana"/>
          <w:color w:val="00B0F0"/>
          <w:sz w:val="20"/>
          <w:szCs w:val="20"/>
        </w:rPr>
      </w:pPr>
      <w:r>
        <w:rPr>
          <w:rFonts w:ascii="Verdana" w:hAnsi="Verdana"/>
          <w:color w:val="00B0F0"/>
          <w:sz w:val="20"/>
          <w:szCs w:val="20"/>
        </w:rPr>
        <w:t>Nos</w:t>
      </w:r>
      <w:r w:rsidR="00B579B1" w:rsidRPr="00B579B1">
        <w:rPr>
          <w:rFonts w:ascii="Verdana" w:hAnsi="Verdana"/>
          <w:color w:val="00B0F0"/>
          <w:sz w:val="20"/>
          <w:szCs w:val="20"/>
        </w:rPr>
        <w:t xml:space="preserve"> points faibles </w:t>
      </w:r>
    </w:p>
    <w:p w14:paraId="78A498B3" w14:textId="0EF577E8" w:rsidR="00B92D81" w:rsidRDefault="001D4C78" w:rsidP="002159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L’Europe a </w:t>
      </w:r>
      <w:r w:rsidR="0076742D">
        <w:rPr>
          <w:rFonts w:ascii="Verdana" w:hAnsi="Verdana"/>
          <w:sz w:val="20"/>
          <w:szCs w:val="20"/>
        </w:rPr>
        <w:t xml:space="preserve">structurellement </w:t>
      </w:r>
      <w:r w:rsidR="006017F6">
        <w:rPr>
          <w:rFonts w:ascii="Verdana" w:hAnsi="Verdana"/>
          <w:sz w:val="20"/>
          <w:szCs w:val="20"/>
        </w:rPr>
        <w:t xml:space="preserve">une croissance plus faible qu’aux Etats-Unis </w:t>
      </w:r>
      <w:r w:rsidR="00FC40F0">
        <w:rPr>
          <w:rFonts w:ascii="Verdana" w:hAnsi="Verdana"/>
          <w:sz w:val="20"/>
          <w:szCs w:val="20"/>
        </w:rPr>
        <w:t>pour des raisons de dynamique entrepreneuriale, de</w:t>
      </w:r>
      <w:r w:rsidR="002E57B2">
        <w:rPr>
          <w:rFonts w:ascii="Verdana" w:hAnsi="Verdana"/>
          <w:sz w:val="20"/>
          <w:szCs w:val="20"/>
        </w:rPr>
        <w:t xml:space="preserve"> flexibilité du marché de l’emploi, du poids considérable des multinationales américaines</w:t>
      </w:r>
      <w:r w:rsidR="00442391">
        <w:rPr>
          <w:rFonts w:ascii="Verdana" w:hAnsi="Verdana"/>
          <w:sz w:val="20"/>
          <w:szCs w:val="20"/>
        </w:rPr>
        <w:t xml:space="preserve"> ou encore</w:t>
      </w:r>
      <w:r w:rsidR="002E57B2">
        <w:rPr>
          <w:rFonts w:ascii="Verdana" w:hAnsi="Verdana"/>
          <w:sz w:val="20"/>
          <w:szCs w:val="20"/>
        </w:rPr>
        <w:t xml:space="preserve"> </w:t>
      </w:r>
      <w:r w:rsidR="003348EC">
        <w:rPr>
          <w:rFonts w:ascii="Verdana" w:hAnsi="Verdana"/>
          <w:sz w:val="20"/>
          <w:szCs w:val="20"/>
        </w:rPr>
        <w:t>du poids de la consommation des ménages</w:t>
      </w:r>
      <w:r w:rsidR="00B92D81">
        <w:rPr>
          <w:rFonts w:ascii="Verdana" w:hAnsi="Verdana"/>
          <w:sz w:val="20"/>
          <w:szCs w:val="20"/>
        </w:rPr>
        <w:t>,</w:t>
      </w:r>
      <w:r w:rsidR="00442391">
        <w:rPr>
          <w:rFonts w:ascii="Verdana" w:hAnsi="Verdana"/>
          <w:sz w:val="20"/>
          <w:szCs w:val="20"/>
        </w:rPr>
        <w:t>…</w:t>
      </w:r>
      <w:r w:rsidR="00B92D81">
        <w:rPr>
          <w:rFonts w:ascii="Verdana" w:hAnsi="Verdana"/>
          <w:sz w:val="20"/>
          <w:szCs w:val="20"/>
        </w:rPr>
        <w:t xml:space="preserve"> </w:t>
      </w:r>
      <w:r w:rsidR="003E5065">
        <w:rPr>
          <w:rFonts w:ascii="Verdana" w:hAnsi="Verdana"/>
          <w:sz w:val="20"/>
          <w:szCs w:val="20"/>
        </w:rPr>
        <w:t>pour ne citer que quelques éléments</w:t>
      </w:r>
      <w:r w:rsidR="009A7DFB">
        <w:rPr>
          <w:rFonts w:ascii="Verdana" w:hAnsi="Verdana"/>
          <w:sz w:val="20"/>
          <w:szCs w:val="20"/>
        </w:rPr>
        <w:t xml:space="preserve">. </w:t>
      </w:r>
    </w:p>
    <w:p w14:paraId="07E879E5" w14:textId="4E315520" w:rsidR="004B764D" w:rsidRDefault="009A7DFB" w:rsidP="002159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442391">
        <w:rPr>
          <w:rFonts w:ascii="Verdana" w:hAnsi="Verdana"/>
          <w:sz w:val="20"/>
          <w:szCs w:val="20"/>
        </w:rPr>
        <w:t>ela</w:t>
      </w:r>
      <w:r>
        <w:rPr>
          <w:rFonts w:ascii="Verdana" w:hAnsi="Verdana"/>
          <w:sz w:val="20"/>
          <w:szCs w:val="20"/>
        </w:rPr>
        <w:t xml:space="preserve"> implique que l’Europe doit développer </w:t>
      </w:r>
      <w:r w:rsidR="008326AE">
        <w:rPr>
          <w:rFonts w:ascii="Verdana" w:hAnsi="Verdana"/>
          <w:sz w:val="20"/>
          <w:szCs w:val="20"/>
        </w:rPr>
        <w:t xml:space="preserve">son tissu industriel dans des secteurs de pointe comme les batteries électriques, </w:t>
      </w:r>
      <w:r w:rsidR="004B764D">
        <w:rPr>
          <w:rFonts w:ascii="Verdana" w:hAnsi="Verdana"/>
          <w:sz w:val="20"/>
          <w:szCs w:val="20"/>
        </w:rPr>
        <w:t xml:space="preserve">les énergies renouvelables, … (ce qui est d’ailleurs la volonté de la Commission européenne), mais dans lesquels nous avons pris un sérieux retard. </w:t>
      </w:r>
    </w:p>
    <w:p w14:paraId="48B8E0C7" w14:textId="3D64A2B5" w:rsidR="00FD5B56" w:rsidRDefault="00511461" w:rsidP="002159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Mais</w:t>
      </w:r>
      <w:r w:rsidR="000E7317">
        <w:rPr>
          <w:rFonts w:ascii="Verdana" w:hAnsi="Verdana"/>
          <w:sz w:val="20"/>
          <w:szCs w:val="20"/>
        </w:rPr>
        <w:t xml:space="preserve"> notre</w:t>
      </w:r>
      <w:r>
        <w:rPr>
          <w:rFonts w:ascii="Verdana" w:hAnsi="Verdana"/>
          <w:sz w:val="20"/>
          <w:szCs w:val="20"/>
        </w:rPr>
        <w:t xml:space="preserve"> plus grand point faible est</w:t>
      </w:r>
      <w:r w:rsidR="000E7317">
        <w:rPr>
          <w:rFonts w:ascii="Verdana" w:hAnsi="Verdana"/>
          <w:sz w:val="20"/>
          <w:szCs w:val="20"/>
        </w:rPr>
        <w:t xml:space="preserve"> sans doute</w:t>
      </w:r>
      <w:r>
        <w:rPr>
          <w:rFonts w:ascii="Verdana" w:hAnsi="Verdana"/>
          <w:sz w:val="20"/>
          <w:szCs w:val="20"/>
        </w:rPr>
        <w:t xml:space="preserve"> le fait que l’Europe </w:t>
      </w:r>
      <w:r w:rsidR="00532D87">
        <w:rPr>
          <w:rFonts w:ascii="Verdana" w:hAnsi="Verdana"/>
          <w:sz w:val="20"/>
          <w:szCs w:val="20"/>
        </w:rPr>
        <w:t>n</w:t>
      </w:r>
      <w:r w:rsidR="006F41EB">
        <w:rPr>
          <w:rFonts w:ascii="Verdana" w:hAnsi="Verdana"/>
          <w:sz w:val="20"/>
          <w:szCs w:val="20"/>
        </w:rPr>
        <w:t xml:space="preserve">e dispose pas d’un véritable gouvernement et </w:t>
      </w:r>
      <w:r w:rsidR="00A76C63">
        <w:rPr>
          <w:rFonts w:ascii="Verdana" w:hAnsi="Verdana"/>
          <w:sz w:val="20"/>
          <w:szCs w:val="20"/>
        </w:rPr>
        <w:t xml:space="preserve">d’une véritable structure </w:t>
      </w:r>
      <w:r w:rsidR="0029021A">
        <w:rPr>
          <w:rFonts w:ascii="Verdana" w:hAnsi="Verdana"/>
          <w:sz w:val="20"/>
          <w:szCs w:val="20"/>
        </w:rPr>
        <w:t xml:space="preserve">institutionnelle qui lui permet de mettre en place rapidement des mesures et </w:t>
      </w:r>
      <w:r w:rsidR="007C262A">
        <w:rPr>
          <w:rFonts w:ascii="Verdana" w:hAnsi="Verdana"/>
          <w:sz w:val="20"/>
          <w:szCs w:val="20"/>
        </w:rPr>
        <w:t>qu’il y a une énorme dilution des moyens.</w:t>
      </w:r>
    </w:p>
    <w:p w14:paraId="729A9423" w14:textId="3277006E" w:rsidR="007C262A" w:rsidRDefault="00486C13" w:rsidP="002159EC">
      <w:pPr>
        <w:jc w:val="both"/>
        <w:rPr>
          <w:rFonts w:ascii="Verdana" w:hAnsi="Verdana"/>
          <w:color w:val="00B0F0"/>
          <w:sz w:val="20"/>
          <w:szCs w:val="20"/>
        </w:rPr>
      </w:pPr>
      <w:r w:rsidRPr="00486C13">
        <w:rPr>
          <w:rFonts w:ascii="Verdana" w:hAnsi="Verdana"/>
          <w:color w:val="00B0F0"/>
          <w:sz w:val="20"/>
          <w:szCs w:val="20"/>
        </w:rPr>
        <w:t xml:space="preserve">Une chance à saisir </w:t>
      </w:r>
    </w:p>
    <w:p w14:paraId="76D036EC" w14:textId="4589DC66" w:rsidR="002025CD" w:rsidRDefault="00674C10" w:rsidP="002159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L’Europe</w:t>
      </w:r>
      <w:r w:rsidR="008E5D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C4AE3">
        <w:rPr>
          <w:rFonts w:ascii="Verdana" w:hAnsi="Verdana"/>
          <w:color w:val="000000" w:themeColor="text1"/>
          <w:sz w:val="20"/>
          <w:szCs w:val="20"/>
        </w:rPr>
        <w:t>a sans doute une occasion unique</w:t>
      </w:r>
      <w:r w:rsidR="000E7317">
        <w:rPr>
          <w:rFonts w:ascii="Verdana" w:hAnsi="Verdana"/>
          <w:color w:val="000000" w:themeColor="text1"/>
          <w:sz w:val="20"/>
          <w:szCs w:val="20"/>
        </w:rPr>
        <w:t>,</w:t>
      </w:r>
      <w:r w:rsidR="00BC4AE3">
        <w:rPr>
          <w:rFonts w:ascii="Verdana" w:hAnsi="Verdana"/>
          <w:color w:val="000000" w:themeColor="text1"/>
          <w:sz w:val="20"/>
          <w:szCs w:val="20"/>
        </w:rPr>
        <w:t xml:space="preserve"> en surfant sur la forte reprise de l’activité économique</w:t>
      </w:r>
      <w:r w:rsidR="000E7317">
        <w:rPr>
          <w:rFonts w:ascii="Verdana" w:hAnsi="Verdana"/>
          <w:color w:val="000000" w:themeColor="text1"/>
          <w:sz w:val="20"/>
          <w:szCs w:val="20"/>
        </w:rPr>
        <w:t>,</w:t>
      </w:r>
      <w:r w:rsidR="00BC4AE3">
        <w:rPr>
          <w:rFonts w:ascii="Verdana" w:hAnsi="Verdana"/>
          <w:color w:val="000000" w:themeColor="text1"/>
          <w:sz w:val="20"/>
          <w:szCs w:val="20"/>
        </w:rPr>
        <w:t xml:space="preserve"> de déployer son plan de relance dans des conditions plus avantageuses que d’autres régions. En plus, le fait que la Commission </w:t>
      </w:r>
      <w:r w:rsidR="00D44D78">
        <w:rPr>
          <w:rFonts w:ascii="Verdana" w:hAnsi="Verdana"/>
          <w:color w:val="000000" w:themeColor="text1"/>
          <w:sz w:val="20"/>
          <w:szCs w:val="20"/>
        </w:rPr>
        <w:t>ait permis une flexibilité maximale dans l’</w:t>
      </w:r>
      <w:r w:rsidR="005E54D5" w:rsidRPr="005E54D5">
        <w:rPr>
          <w:rFonts w:ascii="Verdana" w:hAnsi="Verdana"/>
          <w:sz w:val="20"/>
          <w:szCs w:val="20"/>
        </w:rPr>
        <w:t>application des règles de l'UE en matière de finances publiques et de politiques budgétaires</w:t>
      </w:r>
      <w:r w:rsidR="00D44D78">
        <w:rPr>
          <w:rFonts w:ascii="Verdana" w:hAnsi="Verdana"/>
          <w:sz w:val="20"/>
          <w:szCs w:val="20"/>
        </w:rPr>
        <w:t xml:space="preserve"> </w:t>
      </w:r>
      <w:r w:rsidR="007609AB">
        <w:rPr>
          <w:rFonts w:ascii="Verdana" w:hAnsi="Verdana"/>
          <w:sz w:val="20"/>
          <w:szCs w:val="20"/>
        </w:rPr>
        <w:t xml:space="preserve">donne une plus grande latitude </w:t>
      </w:r>
      <w:r w:rsidR="00A81D2A">
        <w:rPr>
          <w:rFonts w:ascii="Verdana" w:hAnsi="Verdana"/>
          <w:sz w:val="20"/>
          <w:szCs w:val="20"/>
        </w:rPr>
        <w:t xml:space="preserve">en termes d’investissement. Et l’ambition de la Commission en termes de climat </w:t>
      </w:r>
      <w:r w:rsidR="004A4A90">
        <w:rPr>
          <w:rFonts w:ascii="Verdana" w:hAnsi="Verdana"/>
          <w:sz w:val="20"/>
          <w:szCs w:val="20"/>
        </w:rPr>
        <w:t xml:space="preserve">peut se voir comme une opportunité unique de voir l’Europe en </w:t>
      </w:r>
      <w:r w:rsidR="002025CD">
        <w:rPr>
          <w:rFonts w:ascii="Verdana" w:hAnsi="Verdana"/>
          <w:sz w:val="20"/>
          <w:szCs w:val="20"/>
        </w:rPr>
        <w:t>tête dans certaines nouvelles avancées technologiques liées aux énergies renouvelables.</w:t>
      </w:r>
    </w:p>
    <w:p w14:paraId="0643786E" w14:textId="597A9218" w:rsidR="00FC15D6" w:rsidRDefault="00DC4C26" w:rsidP="002159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L’Europe doit </w:t>
      </w:r>
      <w:r w:rsidR="000E7317">
        <w:rPr>
          <w:rFonts w:ascii="Verdana" w:hAnsi="Verdana"/>
          <w:sz w:val="20"/>
          <w:szCs w:val="20"/>
        </w:rPr>
        <w:t>saisir</w:t>
      </w:r>
      <w:r>
        <w:rPr>
          <w:rFonts w:ascii="Verdana" w:hAnsi="Verdana"/>
          <w:sz w:val="20"/>
          <w:szCs w:val="20"/>
        </w:rPr>
        <w:t xml:space="preserve"> cette chance </w:t>
      </w:r>
      <w:r w:rsidR="008861F4">
        <w:rPr>
          <w:rFonts w:ascii="Verdana" w:hAnsi="Verdana"/>
          <w:sz w:val="20"/>
          <w:szCs w:val="20"/>
        </w:rPr>
        <w:t>de se positionner à la fois comme un acteur essentiel dans la lutte contre le réchauffement climatique tout en s</w:t>
      </w:r>
      <w:r w:rsidR="00880ABF">
        <w:rPr>
          <w:rFonts w:ascii="Verdana" w:hAnsi="Verdana"/>
          <w:sz w:val="20"/>
          <w:szCs w:val="20"/>
        </w:rPr>
        <w:t>e réindustrialisa</w:t>
      </w:r>
      <w:r w:rsidR="00B76B5F">
        <w:rPr>
          <w:rFonts w:ascii="Verdana" w:hAnsi="Verdana"/>
          <w:sz w:val="20"/>
          <w:szCs w:val="20"/>
        </w:rPr>
        <w:t xml:space="preserve">nt </w:t>
      </w:r>
      <w:r w:rsidR="00880ABF">
        <w:rPr>
          <w:rFonts w:ascii="Verdana" w:hAnsi="Verdana"/>
          <w:sz w:val="20"/>
          <w:szCs w:val="20"/>
        </w:rPr>
        <w:t xml:space="preserve">pour retrouver son indépendance dans des </w:t>
      </w:r>
      <w:r w:rsidR="00121CB9">
        <w:rPr>
          <w:rFonts w:ascii="Verdana" w:hAnsi="Verdana"/>
          <w:sz w:val="20"/>
          <w:szCs w:val="20"/>
        </w:rPr>
        <w:t xml:space="preserve">domaines stratégiques. </w:t>
      </w:r>
      <w:r w:rsidR="00273F30">
        <w:rPr>
          <w:rFonts w:ascii="Verdana" w:hAnsi="Verdana"/>
          <w:sz w:val="20"/>
          <w:szCs w:val="20"/>
        </w:rPr>
        <w:t xml:space="preserve"> </w:t>
      </w:r>
    </w:p>
    <w:p w14:paraId="5F3A501D" w14:textId="4DC2E7F3" w:rsidR="002025CD" w:rsidRDefault="002025CD" w:rsidP="002159EC">
      <w:pPr>
        <w:jc w:val="both"/>
        <w:rPr>
          <w:rFonts w:ascii="Verdana" w:hAnsi="Verdana"/>
          <w:sz w:val="20"/>
          <w:szCs w:val="20"/>
        </w:rPr>
      </w:pPr>
    </w:p>
    <w:p w14:paraId="326F2C0F" w14:textId="77777777" w:rsidR="00DB7CAA" w:rsidRPr="00610793" w:rsidRDefault="00DB7CAA" w:rsidP="002159EC">
      <w:pPr>
        <w:jc w:val="both"/>
        <w:rPr>
          <w:rFonts w:ascii="Verdana" w:hAnsi="Verdana"/>
          <w:sz w:val="20"/>
          <w:szCs w:val="20"/>
        </w:rPr>
      </w:pPr>
    </w:p>
    <w:p w14:paraId="20B8F240" w14:textId="3C0D5A49" w:rsidR="0029269D" w:rsidRPr="0029269D" w:rsidRDefault="0029269D" w:rsidP="0029269D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72323D0A" w14:textId="77777777" w:rsidR="0029269D" w:rsidRPr="0029269D" w:rsidRDefault="0029269D" w:rsidP="0029269D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6C0B3DD3" w14:textId="77777777" w:rsidR="00AE7D51" w:rsidRPr="00AE7D51" w:rsidRDefault="00AE7D51" w:rsidP="00AE7D51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3D9EEC9B" w14:textId="77777777" w:rsidR="00A6174C" w:rsidRPr="00A6174C" w:rsidRDefault="00A6174C" w:rsidP="00A6174C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1724561F" w14:textId="77777777" w:rsidR="00A6174C" w:rsidRPr="00A15306" w:rsidRDefault="00A6174C">
      <w:pPr>
        <w:rPr>
          <w:rFonts w:ascii="Verdana" w:hAnsi="Verdana"/>
          <w:sz w:val="24"/>
          <w:szCs w:val="24"/>
        </w:rPr>
      </w:pPr>
    </w:p>
    <w:sectPr w:rsidR="00A6174C" w:rsidRPr="00A15306" w:rsidSect="001B1D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E4C8" w14:textId="77777777" w:rsidR="00CA009F" w:rsidRDefault="00CA009F" w:rsidP="00E22308">
      <w:pPr>
        <w:spacing w:after="0" w:line="240" w:lineRule="auto"/>
      </w:pPr>
      <w:r>
        <w:separator/>
      </w:r>
    </w:p>
  </w:endnote>
  <w:endnote w:type="continuationSeparator" w:id="0">
    <w:p w14:paraId="3F4878AE" w14:textId="77777777" w:rsidR="00CA009F" w:rsidRDefault="00CA009F" w:rsidP="00E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6425" w14:textId="77777777" w:rsidR="00CA009F" w:rsidRDefault="00CA009F" w:rsidP="00E22308">
      <w:pPr>
        <w:spacing w:after="0" w:line="240" w:lineRule="auto"/>
      </w:pPr>
      <w:r>
        <w:separator/>
      </w:r>
    </w:p>
  </w:footnote>
  <w:footnote w:type="continuationSeparator" w:id="0">
    <w:p w14:paraId="2EBCBA48" w14:textId="77777777" w:rsidR="00CA009F" w:rsidRDefault="00CA009F" w:rsidP="00E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D366" w14:textId="11663C4A" w:rsidR="00E22308" w:rsidRDefault="00E2230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A2394CA" wp14:editId="0774EB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dec4d6e8eb490fcd67daac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9933E8" w14:textId="29FDBB4F" w:rsidR="00E22308" w:rsidRPr="00E22308" w:rsidRDefault="00E22308" w:rsidP="00E2230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2230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94CA" id="_x0000_t202" coordsize="21600,21600" o:spt="202" path="m,l,21600r21600,l21600,xe">
              <v:stroke joinstyle="miter"/>
              <v:path gradientshapeok="t" o:connecttype="rect"/>
            </v:shapetype>
            <v:shape id="MSIPCM5dec4d6e8eb490fcd67daac4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" o:allowincell="f" filled="f" stroked="f" strokeweight=".5pt">
              <v:textbox inset=",0,,0">
                <w:txbxContent>
                  <w:p w14:paraId="2F9933E8" w14:textId="29FDBB4F" w:rsidR="00E22308" w:rsidRPr="00E22308" w:rsidRDefault="00E22308" w:rsidP="00E2230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22308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779B"/>
    <w:multiLevelType w:val="hybridMultilevel"/>
    <w:tmpl w:val="B338D8E8"/>
    <w:lvl w:ilvl="0" w:tplc="B596A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2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0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E9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23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AB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A8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89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69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5D23"/>
    <w:multiLevelType w:val="hybridMultilevel"/>
    <w:tmpl w:val="B39A9F6C"/>
    <w:lvl w:ilvl="0" w:tplc="79041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C80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6F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C4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A13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EF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C08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CAE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64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23828"/>
    <w:multiLevelType w:val="hybridMultilevel"/>
    <w:tmpl w:val="257C57A8"/>
    <w:lvl w:ilvl="0" w:tplc="55F4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0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E0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4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A8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A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8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E4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0F4B05"/>
    <w:multiLevelType w:val="hybridMultilevel"/>
    <w:tmpl w:val="A634AFB0"/>
    <w:lvl w:ilvl="0" w:tplc="A7F03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25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A0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46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27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046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E4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682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C4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2B"/>
    <w:rsid w:val="00002CD6"/>
    <w:rsid w:val="00016EEB"/>
    <w:rsid w:val="00020A9D"/>
    <w:rsid w:val="00033C91"/>
    <w:rsid w:val="000378C5"/>
    <w:rsid w:val="0007577B"/>
    <w:rsid w:val="00076C20"/>
    <w:rsid w:val="00083E39"/>
    <w:rsid w:val="0008509A"/>
    <w:rsid w:val="000938E6"/>
    <w:rsid w:val="000A01EA"/>
    <w:rsid w:val="000A2243"/>
    <w:rsid w:val="000B0FA2"/>
    <w:rsid w:val="000C20C6"/>
    <w:rsid w:val="000C32D5"/>
    <w:rsid w:val="000D23A9"/>
    <w:rsid w:val="000D26E1"/>
    <w:rsid w:val="000D332D"/>
    <w:rsid w:val="000D66E1"/>
    <w:rsid w:val="000E7317"/>
    <w:rsid w:val="000F1085"/>
    <w:rsid w:val="00121CB9"/>
    <w:rsid w:val="001300FF"/>
    <w:rsid w:val="00134699"/>
    <w:rsid w:val="00134FDF"/>
    <w:rsid w:val="0013653A"/>
    <w:rsid w:val="00156E4A"/>
    <w:rsid w:val="00164110"/>
    <w:rsid w:val="00170371"/>
    <w:rsid w:val="001973FF"/>
    <w:rsid w:val="001A36C1"/>
    <w:rsid w:val="001A6235"/>
    <w:rsid w:val="001B1D5A"/>
    <w:rsid w:val="001B27FC"/>
    <w:rsid w:val="001D00CA"/>
    <w:rsid w:val="001D1EC3"/>
    <w:rsid w:val="001D4C78"/>
    <w:rsid w:val="001E4D79"/>
    <w:rsid w:val="001E563F"/>
    <w:rsid w:val="002025CD"/>
    <w:rsid w:val="00206569"/>
    <w:rsid w:val="0021584F"/>
    <w:rsid w:val="002159EC"/>
    <w:rsid w:val="00246B95"/>
    <w:rsid w:val="00247218"/>
    <w:rsid w:val="00265328"/>
    <w:rsid w:val="00273F30"/>
    <w:rsid w:val="0029021A"/>
    <w:rsid w:val="0029269D"/>
    <w:rsid w:val="002A474D"/>
    <w:rsid w:val="002B015F"/>
    <w:rsid w:val="002B55DA"/>
    <w:rsid w:val="002B67DA"/>
    <w:rsid w:val="002D5305"/>
    <w:rsid w:val="002E4512"/>
    <w:rsid w:val="002E57B2"/>
    <w:rsid w:val="002E6283"/>
    <w:rsid w:val="002E6CB6"/>
    <w:rsid w:val="002E6FFA"/>
    <w:rsid w:val="002F11CF"/>
    <w:rsid w:val="002F5325"/>
    <w:rsid w:val="003002CC"/>
    <w:rsid w:val="00301817"/>
    <w:rsid w:val="00301C61"/>
    <w:rsid w:val="003064FA"/>
    <w:rsid w:val="00307828"/>
    <w:rsid w:val="003121A9"/>
    <w:rsid w:val="00333993"/>
    <w:rsid w:val="003348EC"/>
    <w:rsid w:val="00335D17"/>
    <w:rsid w:val="0035182A"/>
    <w:rsid w:val="00360C58"/>
    <w:rsid w:val="00363A8F"/>
    <w:rsid w:val="003922B7"/>
    <w:rsid w:val="003927A0"/>
    <w:rsid w:val="0039297A"/>
    <w:rsid w:val="003969EF"/>
    <w:rsid w:val="003A1E17"/>
    <w:rsid w:val="003B5CDD"/>
    <w:rsid w:val="003C22EF"/>
    <w:rsid w:val="003E3661"/>
    <w:rsid w:val="003E5065"/>
    <w:rsid w:val="003F3640"/>
    <w:rsid w:val="0040021A"/>
    <w:rsid w:val="0040149F"/>
    <w:rsid w:val="0041167C"/>
    <w:rsid w:val="00412A19"/>
    <w:rsid w:val="00425FAC"/>
    <w:rsid w:val="00432B50"/>
    <w:rsid w:val="00436F23"/>
    <w:rsid w:val="00442391"/>
    <w:rsid w:val="00461AC2"/>
    <w:rsid w:val="00473EFC"/>
    <w:rsid w:val="00483DA2"/>
    <w:rsid w:val="00484B7A"/>
    <w:rsid w:val="00485248"/>
    <w:rsid w:val="00486862"/>
    <w:rsid w:val="00486C13"/>
    <w:rsid w:val="00494FF2"/>
    <w:rsid w:val="004960AD"/>
    <w:rsid w:val="004A4A90"/>
    <w:rsid w:val="004A7109"/>
    <w:rsid w:val="004B22B0"/>
    <w:rsid w:val="004B3B6D"/>
    <w:rsid w:val="004B6796"/>
    <w:rsid w:val="004B764D"/>
    <w:rsid w:val="004B7B01"/>
    <w:rsid w:val="004C2E17"/>
    <w:rsid w:val="004C5BFE"/>
    <w:rsid w:val="004C6DDC"/>
    <w:rsid w:val="004E26F6"/>
    <w:rsid w:val="00503D0A"/>
    <w:rsid w:val="00511461"/>
    <w:rsid w:val="00532D87"/>
    <w:rsid w:val="00547153"/>
    <w:rsid w:val="00551765"/>
    <w:rsid w:val="00553B78"/>
    <w:rsid w:val="00554B42"/>
    <w:rsid w:val="0055506A"/>
    <w:rsid w:val="00557933"/>
    <w:rsid w:val="00581090"/>
    <w:rsid w:val="00585014"/>
    <w:rsid w:val="0058773C"/>
    <w:rsid w:val="00587991"/>
    <w:rsid w:val="005925E0"/>
    <w:rsid w:val="005B3458"/>
    <w:rsid w:val="005C5893"/>
    <w:rsid w:val="005D0423"/>
    <w:rsid w:val="005D5CB5"/>
    <w:rsid w:val="005E54D5"/>
    <w:rsid w:val="005F50FF"/>
    <w:rsid w:val="006017F6"/>
    <w:rsid w:val="00601C13"/>
    <w:rsid w:val="006022DD"/>
    <w:rsid w:val="00610793"/>
    <w:rsid w:val="006210BD"/>
    <w:rsid w:val="006230C6"/>
    <w:rsid w:val="00625851"/>
    <w:rsid w:val="00644AEF"/>
    <w:rsid w:val="00645598"/>
    <w:rsid w:val="006505AB"/>
    <w:rsid w:val="00653A16"/>
    <w:rsid w:val="00656B4B"/>
    <w:rsid w:val="00674C10"/>
    <w:rsid w:val="006C44AB"/>
    <w:rsid w:val="006F3876"/>
    <w:rsid w:val="006F41EB"/>
    <w:rsid w:val="00711284"/>
    <w:rsid w:val="00731D51"/>
    <w:rsid w:val="007356FA"/>
    <w:rsid w:val="0074049E"/>
    <w:rsid w:val="00750934"/>
    <w:rsid w:val="007520E0"/>
    <w:rsid w:val="00754F42"/>
    <w:rsid w:val="007609AB"/>
    <w:rsid w:val="0076742D"/>
    <w:rsid w:val="007721EF"/>
    <w:rsid w:val="00773230"/>
    <w:rsid w:val="00786BFB"/>
    <w:rsid w:val="007A61C8"/>
    <w:rsid w:val="007B0C81"/>
    <w:rsid w:val="007B1756"/>
    <w:rsid w:val="007B7C32"/>
    <w:rsid w:val="007C06F7"/>
    <w:rsid w:val="007C262A"/>
    <w:rsid w:val="007C3A70"/>
    <w:rsid w:val="007C4BD0"/>
    <w:rsid w:val="007C70C3"/>
    <w:rsid w:val="007D1B35"/>
    <w:rsid w:val="007E7C96"/>
    <w:rsid w:val="007F4D29"/>
    <w:rsid w:val="008037D3"/>
    <w:rsid w:val="008326AE"/>
    <w:rsid w:val="008523D5"/>
    <w:rsid w:val="00852781"/>
    <w:rsid w:val="008611EE"/>
    <w:rsid w:val="00862BE6"/>
    <w:rsid w:val="00866476"/>
    <w:rsid w:val="00880ABF"/>
    <w:rsid w:val="0088372D"/>
    <w:rsid w:val="008861F4"/>
    <w:rsid w:val="008876EC"/>
    <w:rsid w:val="008A4D01"/>
    <w:rsid w:val="008B5233"/>
    <w:rsid w:val="008D63B0"/>
    <w:rsid w:val="008E4D41"/>
    <w:rsid w:val="008E5D67"/>
    <w:rsid w:val="008F7B43"/>
    <w:rsid w:val="0090058C"/>
    <w:rsid w:val="00900B8D"/>
    <w:rsid w:val="0091079B"/>
    <w:rsid w:val="009304F9"/>
    <w:rsid w:val="00951AA5"/>
    <w:rsid w:val="00952312"/>
    <w:rsid w:val="00956368"/>
    <w:rsid w:val="0096480A"/>
    <w:rsid w:val="0097332B"/>
    <w:rsid w:val="0097431E"/>
    <w:rsid w:val="00992310"/>
    <w:rsid w:val="009A7DFB"/>
    <w:rsid w:val="009C375D"/>
    <w:rsid w:val="009E0114"/>
    <w:rsid w:val="009F2624"/>
    <w:rsid w:val="009F3574"/>
    <w:rsid w:val="00A075FD"/>
    <w:rsid w:val="00A14D2D"/>
    <w:rsid w:val="00A15306"/>
    <w:rsid w:val="00A234F7"/>
    <w:rsid w:val="00A26B58"/>
    <w:rsid w:val="00A35DB5"/>
    <w:rsid w:val="00A6174C"/>
    <w:rsid w:val="00A71DF5"/>
    <w:rsid w:val="00A76C63"/>
    <w:rsid w:val="00A81D2A"/>
    <w:rsid w:val="00A8234A"/>
    <w:rsid w:val="00A93A98"/>
    <w:rsid w:val="00A97B11"/>
    <w:rsid w:val="00AA5D08"/>
    <w:rsid w:val="00AD6952"/>
    <w:rsid w:val="00AE5D3E"/>
    <w:rsid w:val="00AE7D51"/>
    <w:rsid w:val="00AF6EA8"/>
    <w:rsid w:val="00B111D9"/>
    <w:rsid w:val="00B12088"/>
    <w:rsid w:val="00B14C40"/>
    <w:rsid w:val="00B56342"/>
    <w:rsid w:val="00B573D6"/>
    <w:rsid w:val="00B579B1"/>
    <w:rsid w:val="00B71211"/>
    <w:rsid w:val="00B76B5F"/>
    <w:rsid w:val="00B8272B"/>
    <w:rsid w:val="00B85B4F"/>
    <w:rsid w:val="00B92D81"/>
    <w:rsid w:val="00B94CF0"/>
    <w:rsid w:val="00BB2BF8"/>
    <w:rsid w:val="00BB5431"/>
    <w:rsid w:val="00BC4AE3"/>
    <w:rsid w:val="00BD646E"/>
    <w:rsid w:val="00BE35CB"/>
    <w:rsid w:val="00C051DC"/>
    <w:rsid w:val="00C05E0B"/>
    <w:rsid w:val="00C072A2"/>
    <w:rsid w:val="00C1122B"/>
    <w:rsid w:val="00C24D32"/>
    <w:rsid w:val="00C32681"/>
    <w:rsid w:val="00C52682"/>
    <w:rsid w:val="00C54DD9"/>
    <w:rsid w:val="00C56039"/>
    <w:rsid w:val="00C6671D"/>
    <w:rsid w:val="00C66DD2"/>
    <w:rsid w:val="00C87188"/>
    <w:rsid w:val="00CA009F"/>
    <w:rsid w:val="00CA0399"/>
    <w:rsid w:val="00CC1C7B"/>
    <w:rsid w:val="00CC46A3"/>
    <w:rsid w:val="00CE1A18"/>
    <w:rsid w:val="00CF247E"/>
    <w:rsid w:val="00D44D78"/>
    <w:rsid w:val="00D52CE8"/>
    <w:rsid w:val="00D63C92"/>
    <w:rsid w:val="00D641A4"/>
    <w:rsid w:val="00D6711B"/>
    <w:rsid w:val="00D80250"/>
    <w:rsid w:val="00D94A04"/>
    <w:rsid w:val="00D94C89"/>
    <w:rsid w:val="00DA1740"/>
    <w:rsid w:val="00DB788C"/>
    <w:rsid w:val="00DB7CAA"/>
    <w:rsid w:val="00DC1CB8"/>
    <w:rsid w:val="00DC217F"/>
    <w:rsid w:val="00DC4C26"/>
    <w:rsid w:val="00DC5669"/>
    <w:rsid w:val="00DC7E5C"/>
    <w:rsid w:val="00DD206E"/>
    <w:rsid w:val="00DE3D82"/>
    <w:rsid w:val="00DE65D2"/>
    <w:rsid w:val="00DF1F3D"/>
    <w:rsid w:val="00E10F4D"/>
    <w:rsid w:val="00E13850"/>
    <w:rsid w:val="00E172A9"/>
    <w:rsid w:val="00E22308"/>
    <w:rsid w:val="00E342B4"/>
    <w:rsid w:val="00E5372E"/>
    <w:rsid w:val="00E53883"/>
    <w:rsid w:val="00E65740"/>
    <w:rsid w:val="00E73A59"/>
    <w:rsid w:val="00E87531"/>
    <w:rsid w:val="00E9567E"/>
    <w:rsid w:val="00E97641"/>
    <w:rsid w:val="00EB38C1"/>
    <w:rsid w:val="00EB392B"/>
    <w:rsid w:val="00EB44A8"/>
    <w:rsid w:val="00EE0CF1"/>
    <w:rsid w:val="00EE183E"/>
    <w:rsid w:val="00EF7FB6"/>
    <w:rsid w:val="00F2045F"/>
    <w:rsid w:val="00F23EE0"/>
    <w:rsid w:val="00F35BAA"/>
    <w:rsid w:val="00F41F1E"/>
    <w:rsid w:val="00F42EDB"/>
    <w:rsid w:val="00F51A8F"/>
    <w:rsid w:val="00FA78F8"/>
    <w:rsid w:val="00FA7CEB"/>
    <w:rsid w:val="00FB302F"/>
    <w:rsid w:val="00FB7F22"/>
    <w:rsid w:val="00FC15D6"/>
    <w:rsid w:val="00FC40F0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D542A0"/>
  <w15:chartTrackingRefBased/>
  <w15:docId w15:val="{5ABE6DD9-2B2D-4EC5-8FC0-420973E1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2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08"/>
  </w:style>
  <w:style w:type="paragraph" w:styleId="Pieddepage">
    <w:name w:val="footer"/>
    <w:basedOn w:val="Normal"/>
    <w:link w:val="PieddepageCar"/>
    <w:uiPriority w:val="99"/>
    <w:unhideWhenUsed/>
    <w:rsid w:val="00E2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08"/>
  </w:style>
  <w:style w:type="character" w:customStyle="1" w:styleId="Titre1Car">
    <w:name w:val="Titre 1 Car"/>
    <w:basedOn w:val="Policepardfaut"/>
    <w:link w:val="Titre1"/>
    <w:uiPriority w:val="9"/>
    <w:rsid w:val="000A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C8718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E5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2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4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8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6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3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Keppenne</dc:creator>
  <cp:keywords/>
  <dc:description/>
  <cp:lastModifiedBy>Bernard Keppenne</cp:lastModifiedBy>
  <cp:revision>2</cp:revision>
  <dcterms:created xsi:type="dcterms:W3CDTF">2021-08-11T12:28:00Z</dcterms:created>
  <dcterms:modified xsi:type="dcterms:W3CDTF">2021-08-11T12:28:00Z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2021-08-11T10:11:27Z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b8965e45-8431-4a12-b4b1-b6fddc2baaa8</vt:lpwstr>
  </property>
  <property fmtid="{D5CDD505-2E9C-101B-9397-08002B2CF9AE}" pid="8" name="MSIP_Label_d44a7eb9-e308-4cb8-ad88-b50d70445f3a_ContentBits">
    <vt:lpwstr>1</vt:lpwstr>
  </property>
</Properties>
</file>